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Zařazení věkových skupin strávníků</w:t>
      </w:r>
    </w:p>
    <w:p>
      <w:pPr>
        <w:pStyle w:val="Normal"/>
        <w:jc w:val="both"/>
        <w:rPr>
          <w:b/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eastAsia="Times New Roman" w:cs="Calibri" w:cstheme="minorHAnsi"/>
          <w:color w:val="000000"/>
          <w:sz w:val="44"/>
          <w:szCs w:val="44"/>
        </w:rPr>
      </w:pPr>
      <w:r>
        <w:rPr>
          <w:rFonts w:cs="Calibri" w:cstheme="minorHAnsi"/>
          <w:sz w:val="44"/>
          <w:szCs w:val="44"/>
        </w:rPr>
        <w:t>Zařazování dětí do cenových kategorií se řídí vyhláškou 107/2005 sb. Ze dne 25. února 2005 o školním stravování, změna: 107/2008 sb.</w:t>
      </w:r>
      <w:r>
        <w:rPr>
          <w:rFonts w:eastAsia="Times New Roman" w:cs="Calibri" w:cstheme="minorHAnsi"/>
          <w:color w:val="000000"/>
          <w:sz w:val="44"/>
          <w:szCs w:val="44"/>
        </w:rPr>
        <w:t xml:space="preserve">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44"/>
          <w:szCs w:val="44"/>
        </w:rPr>
      </w:pPr>
      <w:r>
        <w:rPr>
          <w:rFonts w:eastAsia="Times New Roman" w:cs="Calibri" w:cstheme="minorHAnsi"/>
          <w:color w:val="000000"/>
          <w:sz w:val="44"/>
          <w:szCs w:val="44"/>
        </w:rPr>
      </w:r>
    </w:p>
    <w:p>
      <w:pPr>
        <w:pStyle w:val="NormalWeb"/>
        <w:numPr>
          <w:ilvl w:val="0"/>
          <w:numId w:val="1"/>
        </w:numPr>
        <w:spacing w:before="280" w:after="280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ascii="Calibri" w:hAnsi="Calibri" w:asciiTheme="minorHAnsi" w:cstheme="minorHAnsi" w:hAnsiTheme="minorHAnsi"/>
          <w:sz w:val="44"/>
          <w:szCs w:val="44"/>
        </w:rPr>
        <w:t>Do věkových skupin jsou strávníci zařazováni na dobu školního roku, ve kterém dosahují věku podle bodu 1 až 4."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ascii="Calibri" w:hAnsi="Calibri" w:asciiTheme="minorHAnsi" w:cstheme="minorHAnsi" w:hAnsiTheme="minorHAnsi"/>
          <w:sz w:val="44"/>
          <w:szCs w:val="44"/>
        </w:rPr>
        <w:t>Období školního roku</w:t>
        <w:br/>
        <w:t>Období školního roku je definováno Zákonem č. 561/2004 Sb. školský zákon, § 24, odstavec 1.:</w:t>
        <w:br/>
        <w:t xml:space="preserve">"1) Školní rok začíná 1. září a končí 31. srpna následujícího kalendářního roku. </w:t>
      </w:r>
    </w:p>
    <w:p>
      <w:pPr>
        <w:pStyle w:val="NormalWeb"/>
        <w:numPr>
          <w:ilvl w:val="0"/>
          <w:numId w:val="1"/>
        </w:numPr>
        <w:spacing w:before="280" w:after="280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ascii="Calibri" w:hAnsi="Calibri" w:asciiTheme="minorHAnsi" w:cstheme="minorHAnsi" w:hAnsiTheme="minorHAnsi"/>
          <w:sz w:val="44"/>
          <w:szCs w:val="44"/>
        </w:rPr>
        <w:t xml:space="preserve">Z výše uvedeného vyplývá, že dítě,  žák – strávník MUSÍ být ze zákona zařazen do vyšší cenové skupiny, i kdyby dosáhl příslušného vyššího věku až 31. 8. následujícího kalendářního roku.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44"/>
          <w:szCs w:val="44"/>
        </w:rPr>
      </w:pPr>
      <w:r>
        <w:rPr>
          <w:rFonts w:cs="Calibri" w:ascii="Calibri" w:hAnsi="Calibri" w:asciiTheme="minorHAnsi" w:cstheme="minorHAnsi" w:hAnsiTheme="minorHAnsi"/>
          <w:sz w:val="44"/>
          <w:szCs w:val="44"/>
        </w:rPr>
        <w:t>V průběhu školního roku se zařazení ve věkové skupině nemění.</w:t>
      </w:r>
    </w:p>
    <w:p>
      <w:pPr>
        <w:pStyle w:val="Normal"/>
        <w:jc w:val="both"/>
        <w:rPr>
          <w:rFonts w:cs="Calibri" w:cstheme="minorHAnsi"/>
          <w:b/>
          <w:b/>
          <w:sz w:val="44"/>
          <w:szCs w:val="44"/>
        </w:rPr>
      </w:pPr>
      <w:r>
        <w:rPr>
          <w:rFonts w:cs="Calibri" w:cstheme="minorHAnsi"/>
          <w:b/>
          <w:sz w:val="44"/>
          <w:szCs w:val="44"/>
        </w:rPr>
      </w:r>
    </w:p>
    <w:p>
      <w:pPr>
        <w:pStyle w:val="Normal"/>
        <w:jc w:val="both"/>
        <w:rPr>
          <w:rFonts w:cs="Calibri" w:cstheme="minorHAnsi"/>
          <w:sz w:val="44"/>
          <w:szCs w:val="44"/>
        </w:rPr>
      </w:pPr>
      <w:r>
        <w:rPr>
          <w:rFonts w:cs="Calibri" w:cstheme="minorHAnsi"/>
          <w:b/>
          <w:sz w:val="44"/>
          <w:szCs w:val="44"/>
        </w:rPr>
        <w:t>Kategorie:</w:t>
      </w:r>
      <w:r>
        <w:rPr>
          <w:rFonts w:cs="Calibri" w:cstheme="minorHAnsi"/>
          <w:sz w:val="44"/>
          <w:szCs w:val="44"/>
        </w:rPr>
        <w:t xml:space="preserve"> </w:t>
      </w:r>
      <w:bookmarkStart w:id="0" w:name="_GoBack"/>
      <w:bookmarkEnd w:id="0"/>
    </w:p>
    <w:p>
      <w:pPr>
        <w:pStyle w:val="Normal"/>
        <w:jc w:val="both"/>
        <w:rPr>
          <w:rFonts w:cs="Calibri" w:cstheme="minorHAnsi"/>
          <w:b/>
          <w:b/>
          <w:sz w:val="44"/>
          <w:szCs w:val="44"/>
        </w:rPr>
      </w:pPr>
      <w:r>
        <w:rPr>
          <w:rFonts w:cs="Calibri" w:cstheme="minorHAnsi"/>
          <w:sz w:val="44"/>
          <w:szCs w:val="44"/>
        </w:rPr>
        <w:t xml:space="preserve"> </w:t>
      </w:r>
      <w:r>
        <w:rPr>
          <w:rFonts w:cs="Calibri" w:cstheme="minorHAnsi"/>
          <w:sz w:val="44"/>
          <w:szCs w:val="44"/>
        </w:rPr>
        <w:t xml:space="preserve">I. dotovaný oběd žáků ve věku   </w:t>
      </w:r>
      <w:r>
        <w:rPr>
          <w:rFonts w:cs="Calibri" w:cstheme="minorHAnsi"/>
          <w:b/>
          <w:sz w:val="44"/>
          <w:szCs w:val="44"/>
        </w:rPr>
        <w:t>3 -  6 let</w:t>
      </w:r>
    </w:p>
    <w:p>
      <w:pPr>
        <w:pStyle w:val="Normal"/>
        <w:jc w:val="both"/>
        <w:rPr>
          <w:rFonts w:cs="Calibri" w:cstheme="minorHAnsi"/>
          <w:sz w:val="44"/>
          <w:szCs w:val="44"/>
        </w:rPr>
      </w:pPr>
      <w:r>
        <w:rPr>
          <w:rFonts w:cs="Calibri" w:cstheme="minorHAnsi"/>
          <w:b/>
          <w:sz w:val="44"/>
          <w:szCs w:val="44"/>
        </w:rPr>
        <w:t xml:space="preserve">    </w:t>
      </w:r>
      <w:r>
        <w:rPr>
          <w:rFonts w:cs="Calibri" w:cstheme="minorHAnsi"/>
          <w:b/>
          <w:sz w:val="44"/>
          <w:szCs w:val="44"/>
        </w:rPr>
        <w:t>( 2</w:t>
      </w:r>
      <w:r>
        <w:rPr>
          <w:rFonts w:cs="Calibri" w:cstheme="minorHAnsi"/>
          <w:sz w:val="44"/>
          <w:szCs w:val="44"/>
        </w:rPr>
        <w:t xml:space="preserve">leté dítě se počítá jako dítě </w:t>
      </w:r>
      <w:r>
        <w:rPr>
          <w:rFonts w:cs="Calibri" w:cstheme="minorHAnsi"/>
          <w:b/>
          <w:sz w:val="44"/>
          <w:szCs w:val="44"/>
        </w:rPr>
        <w:t>3</w:t>
      </w:r>
      <w:r>
        <w:rPr>
          <w:rFonts w:cs="Calibri" w:cstheme="minorHAnsi"/>
          <w:sz w:val="44"/>
          <w:szCs w:val="44"/>
        </w:rPr>
        <w:t>leté )</w:t>
      </w:r>
    </w:p>
    <w:p>
      <w:pPr>
        <w:pStyle w:val="Normal"/>
        <w:jc w:val="both"/>
        <w:rPr>
          <w:rFonts w:cs="Calibri" w:cstheme="minorHAnsi"/>
          <w:b/>
          <w:b/>
          <w:sz w:val="44"/>
          <w:szCs w:val="44"/>
        </w:rPr>
      </w:pPr>
      <w:r>
        <w:rPr>
          <w:rFonts w:cs="Calibri" w:cstheme="minorHAnsi"/>
          <w:sz w:val="44"/>
          <w:szCs w:val="44"/>
        </w:rPr>
        <w:t xml:space="preserve"> </w:t>
      </w:r>
      <w:r>
        <w:rPr>
          <w:rFonts w:cs="Calibri" w:cstheme="minorHAnsi"/>
          <w:sz w:val="44"/>
          <w:szCs w:val="44"/>
        </w:rPr>
        <w:t xml:space="preserve">II. dotovaný oběd žáků ve věku   </w:t>
      </w:r>
      <w:r>
        <w:rPr>
          <w:rFonts w:cs="Calibri" w:cstheme="minorHAnsi"/>
          <w:b/>
          <w:sz w:val="44"/>
          <w:szCs w:val="44"/>
        </w:rPr>
        <w:t>7 - 10 let</w:t>
      </w:r>
    </w:p>
    <w:p>
      <w:pPr>
        <w:pStyle w:val="Normal"/>
        <w:jc w:val="both"/>
        <w:rPr>
          <w:rFonts w:cs="Calibri" w:cstheme="minorHAnsi"/>
          <w:b/>
          <w:b/>
          <w:sz w:val="44"/>
          <w:szCs w:val="44"/>
        </w:rPr>
      </w:pPr>
      <w:r>
        <w:rPr>
          <w:rFonts w:cs="Calibri" w:cstheme="minorHAnsi"/>
          <w:sz w:val="44"/>
          <w:szCs w:val="44"/>
        </w:rPr>
        <w:t xml:space="preserve"> </w:t>
      </w:r>
      <w:r>
        <w:rPr>
          <w:rFonts w:cs="Calibri" w:cstheme="minorHAnsi"/>
          <w:sz w:val="44"/>
          <w:szCs w:val="44"/>
        </w:rPr>
        <w:t xml:space="preserve">III. dotovaný oběd žáků ve věku </w:t>
      </w:r>
      <w:r>
        <w:rPr>
          <w:rFonts w:cs="Calibri" w:cstheme="minorHAnsi"/>
          <w:b/>
          <w:sz w:val="44"/>
          <w:szCs w:val="44"/>
        </w:rPr>
        <w:t xml:space="preserve">11 - 14 let </w:t>
      </w:r>
    </w:p>
    <w:p>
      <w:pPr>
        <w:pStyle w:val="Normal"/>
        <w:jc w:val="both"/>
        <w:rPr>
          <w:rFonts w:cs="Calibri" w:cstheme="minorHAnsi"/>
          <w:b/>
          <w:b/>
          <w:sz w:val="44"/>
          <w:szCs w:val="44"/>
        </w:rPr>
      </w:pPr>
      <w:r>
        <w:rPr>
          <w:rFonts w:cs="Calibri" w:cstheme="minorHAnsi"/>
          <w:sz w:val="44"/>
          <w:szCs w:val="44"/>
        </w:rPr>
        <w:t xml:space="preserve">IV. dotovaný oběd žáků ve věku </w:t>
      </w:r>
      <w:r>
        <w:rPr>
          <w:rFonts w:cs="Calibri" w:cstheme="minorHAnsi"/>
          <w:b/>
          <w:sz w:val="44"/>
          <w:szCs w:val="44"/>
        </w:rPr>
        <w:t>15 a více let</w:t>
      </w:r>
    </w:p>
    <w:p>
      <w:pPr>
        <w:pStyle w:val="Normal"/>
        <w:jc w:val="both"/>
        <w:rPr>
          <w:sz w:val="44"/>
          <w:szCs w:val="44"/>
        </w:rPr>
      </w:pPr>
      <w:r>
        <w:rPr>
          <w:rFonts w:cs="Calibri" w:cstheme="minorHAnsi"/>
          <w:sz w:val="44"/>
          <w:szCs w:val="44"/>
        </w:rPr>
        <w:t>V. oběd pro zaměstnance v závodním stravování</w:t>
      </w:r>
      <w:r>
        <w:rPr>
          <w:sz w:val="44"/>
          <w:szCs w:val="44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139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01a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0735c1"/>
    <w:pPr>
      <w:spacing w:before="0" w:after="160"/>
      <w:ind w:left="720" w:hanging="0"/>
      <w:contextualSpacing/>
    </w:pPr>
    <w:rPr>
      <w:rFonts w:eastAsia="" w:eastAsiaTheme="minorEastAsia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LibreOffice/7.0.0.3$Windows_X86_64 LibreOffice_project/8061b3e9204bef6b321a21033174034a5e2ea88e</Application>
  <Pages>2</Pages>
  <Words>174</Words>
  <Characters>822</Characters>
  <CharactersWithSpaces>1002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2019-09-01T14:54:00Z</dcterms:created>
  <dc:creator>Kuchyn</dc:creator>
  <dc:description/>
  <dc:language>cs-CZ</dc:language>
  <cp:lastModifiedBy/>
  <dcterms:modified xsi:type="dcterms:W3CDTF">2021-04-22T16:45:15Z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